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pt-PT"/>
        </w:rPr>
        <w:t>Objet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pt-PT"/>
        </w:rPr>
        <w:t> 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: Le projet de loi 31 ne passe pas !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À</w:t>
      </w:r>
      <w:r>
        <w:rPr>
          <w:rStyle w:val="Aucun"/>
          <w:sz w:val="24"/>
          <w:szCs w:val="24"/>
          <w:rtl w:val="0"/>
          <w:lang w:val="pt-PT"/>
        </w:rPr>
        <w:t> </w:t>
      </w:r>
      <w:r>
        <w:rPr>
          <w:rStyle w:val="Aucun"/>
          <w:sz w:val="24"/>
          <w:szCs w:val="24"/>
          <w:rtl w:val="0"/>
          <w:lang w:val="pt-PT"/>
        </w:rPr>
        <w:t>: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"mailto:Francois.Legault.ASSO@assnat.qc.ca"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Francois.Legault.ASSO@assnat.qc.ca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"mailto:ministre@habitation.gouv.qc.ca"</w:instrText>
      </w: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ministre@habitation.gouv.qc.ca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CC</w:t>
      </w:r>
      <w:r>
        <w:rPr>
          <w:rStyle w:val="Aucun"/>
          <w:sz w:val="24"/>
          <w:szCs w:val="24"/>
          <w:rtl w:val="0"/>
          <w:lang w:val="pt-PT"/>
        </w:rPr>
        <w:t> </w:t>
      </w:r>
      <w:r>
        <w:rPr>
          <w:rStyle w:val="Aucun"/>
          <w:sz w:val="24"/>
          <w:szCs w:val="24"/>
          <w:rtl w:val="0"/>
          <w:lang w:val="pt-PT"/>
        </w:rPr>
        <w:t>: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"mailto:amelie.dionne.rdlt@assnat.qc.ca"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amelie.dionne.rdlt@assnat.qc.ca</w:t>
      </w:r>
      <w:r>
        <w:rPr/>
        <w:fldChar w:fldCharType="end" w:fldLock="0"/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"mailto:Eric.Girard.LSJ@assnat.qc.ca"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Eric.Girard.LSJ@assnat.qc.ca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"mailto:Mathieu.Rivest.CDS@assnat.qc.ca"</w:instrText>
      </w: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Mathieu.Rivest.CDS@assnat.qc.ca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"mailto:Yannick.Gagnon.JONQ@assnat.qc.ca"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Yannick.Gagnon.JONQ@assnat.qc.ca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"mailto:Chantale.Jeannotte.LABE@assnat.qc.ca"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Chantale.Jeannotte.LABE@assnat.qc.ca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"mailto:Sebastien.Schneeberger.DRUM@assnat.qc.ca"</w:instrText>
      </w:r>
      <w:r>
        <w:rPr>
          <w:rStyle w:val="Hyperlink.2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Sebastien.Schneeberger.DRUM@assnat.qc.ca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"mailto:Enrico.Ciccone.MARQ@assnat.qc.ca"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Enrico.Ciccone.MARQ@assnat.qc.ca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"mailto:Gregory.Kelley.JACA@assnat.qc.ca"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Gregory.Kelley.JACA@assnat.qc.ca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"mailto:Virginie.Dufour.MIIL@assnat.qc.ca"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Virginie.Dufour.MIIL@assnat.qc.ca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"mailto:Andres.Fontecilla.LADO@assnat.qc.ca"</w:instrText>
      </w:r>
      <w:r>
        <w:rPr>
          <w:rStyle w:val="Hyperlink.0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Andres.Fontecilla.LADO@assnat.qc.ca</w:t>
      </w:r>
      <w:r>
        <w:rPr/>
        <w:fldChar w:fldCharType="end" w:fldLock="0"/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  <w:lang w:val="fr-FR"/>
        </w:rPr>
      </w:pP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"mailto:public@rclalq.qc.ca"</w:instrText>
      </w:r>
      <w:r>
        <w:rPr>
          <w:rStyle w:val="Hyperlink.1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public@rclalq.qc.ca</w:t>
      </w:r>
      <w:r>
        <w:rPr>
          <w:lang w:val="fr-FR"/>
        </w:rPr>
        <w:fldChar w:fldCharType="end" w:fldLock="0"/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Bonjour,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it-IT"/>
        </w:rPr>
        <w:t>Le 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bec est plong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dans une crise du logement historique. Partout, les locataires en subissent les cons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quences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sastreuses</w:t>
      </w:r>
      <w:r>
        <w:rPr>
          <w:rStyle w:val="Aucun"/>
          <w:sz w:val="24"/>
          <w:szCs w:val="24"/>
          <w:rtl w:val="0"/>
          <w:lang w:val="pt-PT"/>
        </w:rPr>
        <w:t> </w:t>
      </w:r>
      <w:r>
        <w:rPr>
          <w:rStyle w:val="Aucun"/>
          <w:sz w:val="24"/>
          <w:szCs w:val="24"/>
          <w:rtl w:val="0"/>
          <w:lang w:val="fr-FR"/>
        </w:rPr>
        <w:t>: explosion des loyers, explosion des pratiques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datrices des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taires immobiliers qui visent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maximiser les profits en contournant le droit au maintien dans les lieux (par exemple</w:t>
      </w:r>
      <w:r>
        <w:rPr>
          <w:rStyle w:val="Aucun"/>
          <w:sz w:val="24"/>
          <w:szCs w:val="24"/>
          <w:rtl w:val="0"/>
          <w:lang w:val="pt-PT"/>
        </w:rPr>
        <w:t> </w:t>
      </w:r>
      <w:r>
        <w:rPr>
          <w:rStyle w:val="Aucun"/>
          <w:sz w:val="24"/>
          <w:szCs w:val="24"/>
          <w:rtl w:val="0"/>
          <w:lang w:val="pt-PT"/>
        </w:rPr>
        <w:t>: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sz w:val="24"/>
          <w:szCs w:val="24"/>
          <w:rtl w:val="0"/>
          <w:lang w:val="pt-PT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novictions, pressions indues, reprises de logement,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victions pour agrandissement / subdivision / changement d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fr-FR"/>
        </w:rPr>
        <w:t>affectation), explosion du nombre de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nages qui ne parviennent pas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se trouver un logement ad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quat, etc. 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Au surplus (est-il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cessaire de le rappeler?), il existe un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quilibre structurel entre locataires et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taires immobiliers. De par leur situation sociale et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conomique, les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taires immobiliers disposent de privil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ges qui leur donnent un avantage ind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niable sur les locataires. Les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taires ont des moyens financiers bien plus importants et ont 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pt-PT"/>
        </w:rPr>
        <w:t xml:space="preserve">s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des ressources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mentaires pour faire valoir leurs 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r</w:t>
      </w:r>
      <w:r>
        <w:rPr>
          <w:rStyle w:val="Aucun"/>
          <w:sz w:val="24"/>
          <w:szCs w:val="24"/>
          <w:rtl w:val="0"/>
          <w:lang w:val="pt-PT"/>
        </w:rPr>
        <w:t>ê</w:t>
      </w:r>
      <w:r>
        <w:rPr>
          <w:rStyle w:val="Aucun"/>
          <w:sz w:val="24"/>
          <w:szCs w:val="24"/>
          <w:rtl w:val="0"/>
          <w:lang w:val="fr-FR"/>
        </w:rPr>
        <w:t>ts. La crise du logement accentue ces 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en permettant aux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taires immobiliers de s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fr-FR"/>
        </w:rPr>
        <w:t>enrichir encore davantage aux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pens des locataires.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Dans ce contexte, le projet de loi 31 (PL31)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sent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le 9 juin dernier par la ministre responsable de l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fr-FR"/>
        </w:rPr>
        <w:t>Habitation est une insulte aux locataires. Il ne propose aucune mesure structurante pour contrer les effets de la crise du logement. Il ne propose aucune mesure pour r</w:t>
      </w:r>
      <w:r>
        <w:rPr>
          <w:rStyle w:val="Aucun"/>
          <w:sz w:val="24"/>
          <w:szCs w:val="24"/>
          <w:rtl w:val="0"/>
          <w:lang w:val="fr-FR"/>
        </w:rPr>
        <w:t>éé</w:t>
      </w:r>
      <w:r>
        <w:rPr>
          <w:rStyle w:val="Aucun"/>
          <w:sz w:val="24"/>
          <w:szCs w:val="24"/>
          <w:rtl w:val="0"/>
          <w:lang w:val="fr-FR"/>
        </w:rPr>
        <w:t>quilibrer les 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entre locataires et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taire</w:t>
      </w:r>
      <w:r>
        <w:rPr>
          <w:rStyle w:val="Aucun"/>
          <w:sz w:val="24"/>
          <w:szCs w:val="24"/>
          <w:rtl w:val="0"/>
          <w:lang w:val="fr-FR"/>
        </w:rPr>
        <w:t>s</w:t>
      </w:r>
      <w:r>
        <w:rPr>
          <w:rStyle w:val="Aucun"/>
          <w:sz w:val="24"/>
          <w:szCs w:val="24"/>
          <w:rtl w:val="0"/>
          <w:lang w:val="fr-FR"/>
        </w:rPr>
        <w:t xml:space="preserve">. Rien pour contrer les hausses abusives de loyer. Rien pour renforcer le droit au maintien dans les lieux des locataires. 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Pire, le PL31 vient plut</w:t>
      </w:r>
      <w:r>
        <w:rPr>
          <w:rStyle w:val="Aucun"/>
          <w:sz w:val="24"/>
          <w:szCs w:val="24"/>
          <w:rtl w:val="0"/>
          <w:lang w:val="pt-PT"/>
        </w:rPr>
        <w:t>ô</w:t>
      </w:r>
      <w:r>
        <w:rPr>
          <w:rStyle w:val="Aucun"/>
          <w:sz w:val="24"/>
          <w:szCs w:val="24"/>
          <w:rtl w:val="0"/>
          <w:lang w:val="it-IT"/>
        </w:rPr>
        <w:t>t aggraver le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quilibre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j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existant entre locataires et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taires. En permettant aux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taires de contourner le droit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cession de bail, le projet de loi vise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pt-PT"/>
        </w:rPr>
        <w:t>s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attaquer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solidarit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entre locataires, vise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encourager les pratiques discriminatoires des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taires et vise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attiser encore davantage la flamb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 des loyers. En rehaussant le montant des compensations lors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victions, le projet de loi normalise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victions frauduleuses qui sont devenues monnaies courantes au 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bec. En permettant que des compagnies locatrices se fassent repr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senter par des mandataires, une alternative dont ne peuvent profiter les locataires avec des moyens modestes, le projet de loi cristallise le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quilibre actuel en ce qui a trait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pt-PT"/>
        </w:rPr>
        <w:t>l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it-IT"/>
        </w:rPr>
        <w:t>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pt-PT"/>
        </w:rPr>
        <w:t xml:space="preserve">s </w:t>
      </w:r>
      <w:r>
        <w:rPr>
          <w:rStyle w:val="Aucun"/>
          <w:sz w:val="24"/>
          <w:szCs w:val="24"/>
          <w:rtl w:val="0"/>
          <w:lang w:val="pt-PT"/>
        </w:rPr>
        <w:t xml:space="preserve">à </w:t>
      </w:r>
      <w:r>
        <w:rPr>
          <w:rStyle w:val="Aucun"/>
          <w:sz w:val="24"/>
          <w:szCs w:val="24"/>
          <w:rtl w:val="0"/>
          <w:lang w:val="pt-PT"/>
        </w:rPr>
        <w:t>la justice.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Nous demandons une refonte du PL31 afin d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pt-PT"/>
        </w:rPr>
        <w:t>’</w:t>
      </w:r>
      <w:r>
        <w:rPr>
          <w:rStyle w:val="Aucun"/>
          <w:sz w:val="24"/>
          <w:szCs w:val="24"/>
          <w:rtl w:val="0"/>
          <w:lang w:val="fr-FR"/>
        </w:rPr>
        <w:t>y inclure des mesures vigoureuses qui soulageraient les locataires du 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bec du fardeau financier qui les accable. Nous demandons</w:t>
      </w:r>
      <w:r>
        <w:rPr>
          <w:rStyle w:val="Aucun"/>
          <w:sz w:val="24"/>
          <w:szCs w:val="24"/>
          <w:rtl w:val="0"/>
          <w:lang w:val="pt-PT"/>
        </w:rPr>
        <w:t> </w:t>
      </w:r>
      <w:r>
        <w:rPr>
          <w:rStyle w:val="Aucun"/>
          <w:sz w:val="24"/>
          <w:szCs w:val="24"/>
          <w:rtl w:val="0"/>
          <w:lang w:val="pt-PT"/>
        </w:rPr>
        <w:t>: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 xml:space="preserve">le maintien du droit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cession de bail par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abandon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article 7 du PL31</w:t>
      </w:r>
      <w:r>
        <w:rPr>
          <w:rStyle w:val="Aucun"/>
          <w:sz w:val="24"/>
          <w:szCs w:val="24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instauration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contr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ô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le obligatoire des loyers</w:t>
      </w:r>
      <w:r>
        <w:rPr>
          <w:rStyle w:val="Aucun"/>
          <w:sz w:val="24"/>
          <w:szCs w:val="24"/>
          <w:rtl w:val="0"/>
          <w:lang w:val="fr-FR"/>
        </w:rPr>
        <w:t>, incluant un plafonnement et un registre des loyers;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interdiction des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victions</w:t>
      </w:r>
      <w:r>
        <w:rPr>
          <w:rStyle w:val="Aucun"/>
          <w:sz w:val="24"/>
          <w:szCs w:val="24"/>
          <w:rtl w:val="0"/>
          <w:lang w:val="fr-FR"/>
        </w:rPr>
        <w:t xml:space="preserve"> pour agrandissement / subdivision / changement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affectation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et des reprises de logement</w:t>
      </w:r>
      <w:r>
        <w:rPr>
          <w:rStyle w:val="Aucun"/>
          <w:sz w:val="24"/>
          <w:szCs w:val="24"/>
          <w:rtl w:val="0"/>
          <w:lang w:val="fr-FR"/>
        </w:rPr>
        <w:t xml:space="preserve"> lorsque le taux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inoccupation des logements locataires est inf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rieur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3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%.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Le contr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ô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le obligatoire de toute reprise ou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viction</w:t>
      </w:r>
      <w:r>
        <w:rPr>
          <w:rStyle w:val="Aucun"/>
          <w:sz w:val="24"/>
          <w:szCs w:val="24"/>
          <w:rtl w:val="0"/>
          <w:lang w:val="fr-FR"/>
        </w:rPr>
        <w:t xml:space="preserve"> lorsque le taux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inoccupation le permet et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un suivi obligatoire </w:t>
      </w:r>
      <w:r>
        <w:rPr>
          <w:rStyle w:val="Aucun"/>
          <w:sz w:val="24"/>
          <w:szCs w:val="24"/>
          <w:rtl w:val="0"/>
          <w:lang w:val="fr-FR"/>
        </w:rPr>
        <w:t xml:space="preserve">faisant preuve que le projet menant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reprise ou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 xml:space="preserve">viction a bel et bien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abandon des articles 29 et 30 du PL31 </w:t>
      </w:r>
      <w:r>
        <w:rPr>
          <w:rStyle w:val="Aucun"/>
          <w:sz w:val="24"/>
          <w:szCs w:val="24"/>
          <w:rtl w:val="0"/>
          <w:lang w:val="fr-FR"/>
        </w:rPr>
        <w:t>qui abrogent sans aucune justification les articles 72 et 74 de la Loi sur le Tribunal administratif du logement (TAL) et pour rem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dier aux difficult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acc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justice au TAL,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que soit accord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 aux personnes physiques la possibilit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de se faire repr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senter gratuitement </w:t>
      </w:r>
      <w:r>
        <w:rPr>
          <w:rStyle w:val="Aucun"/>
          <w:sz w:val="24"/>
          <w:szCs w:val="24"/>
          <w:rtl w:val="0"/>
          <w:lang w:val="fr-FR"/>
        </w:rPr>
        <w:t xml:space="preserve">par une personne </w:t>
      </w:r>
      <w:r>
        <w:rPr>
          <w:rStyle w:val="Aucun"/>
          <w:sz w:val="24"/>
          <w:szCs w:val="24"/>
          <w:rtl w:val="0"/>
          <w:lang w:val="fr-FR"/>
        </w:rPr>
        <w:t>œ</w:t>
      </w:r>
      <w:r>
        <w:rPr>
          <w:rStyle w:val="Aucun"/>
          <w:sz w:val="24"/>
          <w:szCs w:val="24"/>
          <w:rtl w:val="0"/>
          <w:lang w:val="fr-FR"/>
        </w:rPr>
        <w:t xml:space="preserve">uvrant dans un OSBL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vocation juridique.</w:t>
      </w: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 A"/>
        <w:spacing w:after="0" w:line="240" w:lineRule="auto"/>
        <w:jc w:val="both"/>
      </w:pPr>
      <w:r>
        <w:rPr>
          <w:rStyle w:val="Aucun"/>
          <w:sz w:val="24"/>
          <w:szCs w:val="24"/>
          <w:rtl w:val="0"/>
          <w:lang w:val="fr-FR"/>
        </w:rPr>
        <w:t>Cordialement,</w:t>
      </w:r>
    </w:p>
    <w:sectPr>
      <w:headerReference w:type="default" r:id="rId4"/>
      <w:footerReference w:type="default" r:id="rId5"/>
      <w:pgSz w:w="12240" w:h="15840" w:orient="portrait"/>
      <w:pgMar w:top="1276" w:right="1080" w:bottom="1440" w:left="108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pt-PT"/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character" w:styleId="Hyperlink.2">
    <w:name w:val="Hyperlink.2"/>
    <w:basedOn w:val="Aucun"/>
    <w:next w:val="Hyperlink.2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